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42F" w:rsidRPr="00E96844" w:rsidRDefault="00000000">
      <w:pPr>
        <w:spacing w:after="0" w:line="259" w:lineRule="auto"/>
        <w:ind w:left="0" w:right="-19" w:firstLine="0"/>
        <w:jc w:val="center"/>
        <w:rPr>
          <w:b/>
          <w:bCs/>
        </w:rPr>
      </w:pPr>
      <w:r w:rsidRPr="00E96844">
        <w:rPr>
          <w:b/>
          <w:bCs/>
          <w:sz w:val="32"/>
        </w:rPr>
        <w:t>SMLOUVA O SPOLUPRÁCI</w:t>
      </w:r>
    </w:p>
    <w:p w:rsidR="0033642F" w:rsidRDefault="00000000">
      <w:pPr>
        <w:spacing w:after="392" w:line="259" w:lineRule="auto"/>
        <w:ind w:left="0" w:right="-19" w:firstLine="0"/>
        <w:jc w:val="center"/>
      </w:pPr>
      <w:r>
        <w:rPr>
          <w:sz w:val="20"/>
        </w:rPr>
        <w:t>uzavřená podle § 1746 odst. 2 občanského zákoníku (dále též jen jako „</w:t>
      </w:r>
      <w:r>
        <w:rPr>
          <w:b/>
          <w:bCs/>
          <w:i/>
          <w:iCs/>
          <w:sz w:val="20"/>
        </w:rPr>
        <w:t>Smlouva</w:t>
      </w:r>
      <w:r>
        <w:rPr>
          <w:sz w:val="20"/>
        </w:rPr>
        <w:t>”)</w:t>
      </w: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Obchodní společnost</w:t>
      </w: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IČO:</w:t>
      </w: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Sídlem</w:t>
      </w: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Zastoupená</w:t>
      </w: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Bankovní spojení:</w:t>
      </w:r>
    </w:p>
    <w:p w:rsidR="0033642F" w:rsidRDefault="0033642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(dále také jen jako „</w:t>
      </w:r>
      <w:r>
        <w:rPr>
          <w:rFonts w:cstheme="minorHAnsi"/>
          <w:b/>
          <w:bCs/>
          <w:i/>
          <w:iCs/>
          <w:szCs w:val="22"/>
        </w:rPr>
        <w:t>Investor</w:t>
      </w:r>
      <w:r>
        <w:rPr>
          <w:rFonts w:cstheme="minorHAnsi"/>
          <w:szCs w:val="22"/>
        </w:rPr>
        <w:t xml:space="preserve">“) </w:t>
      </w:r>
    </w:p>
    <w:p w:rsidR="0033642F" w:rsidRDefault="0033642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szCs w:val="22"/>
        </w:rPr>
      </w:pPr>
      <w:r>
        <w:rPr>
          <w:rFonts w:eastAsia="Times New Roman" w:cstheme="minorHAnsi"/>
          <w:szCs w:val="22"/>
        </w:rPr>
        <w:t>a</w:t>
      </w:r>
    </w:p>
    <w:p w:rsidR="0033642F" w:rsidRDefault="0033642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Město Loučná pod Klínovcem</w:t>
      </w: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Loučná č.p. 89, 431 91 Loučná pod Klínovcem</w:t>
      </w: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 xml:space="preserve">Zastoupené Mgr. Janou </w:t>
      </w:r>
      <w:proofErr w:type="spellStart"/>
      <w:r>
        <w:rPr>
          <w:rFonts w:cstheme="minorHAnsi"/>
          <w:szCs w:val="22"/>
        </w:rPr>
        <w:t>Nýdrovou</w:t>
      </w:r>
      <w:proofErr w:type="spellEnd"/>
      <w:r>
        <w:rPr>
          <w:rFonts w:cstheme="minorHAnsi"/>
          <w:szCs w:val="22"/>
        </w:rPr>
        <w:t>, starostkou</w:t>
      </w: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Bankovní spojení: číslo účtu: 940006349/0800, vedený u České spořitelny a.s.</w:t>
      </w:r>
    </w:p>
    <w:p w:rsidR="0033642F" w:rsidRDefault="0033642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</w:p>
    <w:p w:rsidR="0033642F" w:rsidRDefault="0000000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(dále také jen jako „</w:t>
      </w:r>
      <w:r>
        <w:rPr>
          <w:rFonts w:cstheme="minorHAnsi"/>
          <w:b/>
          <w:bCs/>
          <w:i/>
          <w:iCs/>
          <w:szCs w:val="22"/>
        </w:rPr>
        <w:t>Příjemce</w:t>
      </w:r>
      <w:r>
        <w:rPr>
          <w:rFonts w:cstheme="minorHAnsi"/>
          <w:szCs w:val="22"/>
        </w:rPr>
        <w:t>“)</w:t>
      </w:r>
    </w:p>
    <w:p w:rsidR="0033642F" w:rsidRDefault="0033642F">
      <w:pPr>
        <w:spacing w:after="0" w:line="240" w:lineRule="auto"/>
        <w:ind w:left="0" w:right="-19" w:firstLine="0"/>
        <w:jc w:val="left"/>
        <w:rPr>
          <w:rFonts w:asciiTheme="minorHAnsi" w:hAnsiTheme="minorHAnsi" w:cstheme="minorHAnsi"/>
          <w:szCs w:val="22"/>
        </w:rPr>
      </w:pPr>
    </w:p>
    <w:p w:rsidR="0033642F" w:rsidRDefault="00000000">
      <w:pPr>
        <w:spacing w:after="0" w:line="240" w:lineRule="auto"/>
        <w:ind w:left="0" w:right="-19" w:firstLine="0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>(Investor a Příjemce společně dále jen jako „</w:t>
      </w:r>
      <w:r>
        <w:rPr>
          <w:rFonts w:cstheme="minorHAnsi"/>
          <w:b/>
          <w:bCs/>
          <w:i/>
          <w:iCs/>
          <w:szCs w:val="22"/>
        </w:rPr>
        <w:t>Smluvní strany</w:t>
      </w:r>
      <w:r>
        <w:rPr>
          <w:rFonts w:cstheme="minorHAnsi"/>
          <w:szCs w:val="22"/>
        </w:rPr>
        <w:t>")</w:t>
      </w:r>
    </w:p>
    <w:p w:rsidR="0033642F" w:rsidRDefault="0033642F">
      <w:pPr>
        <w:spacing w:after="0" w:line="240" w:lineRule="auto"/>
        <w:ind w:left="0" w:right="-19" w:firstLine="0"/>
        <w:rPr>
          <w:rFonts w:asciiTheme="minorHAnsi" w:hAnsiTheme="minorHAnsi" w:cstheme="minorHAnsi"/>
          <w:szCs w:val="22"/>
        </w:rPr>
      </w:pPr>
    </w:p>
    <w:p w:rsidR="0033642F" w:rsidRPr="00E96844" w:rsidRDefault="00000000">
      <w:pPr>
        <w:spacing w:after="0" w:line="240" w:lineRule="auto"/>
        <w:ind w:left="0" w:right="-19" w:firstLine="0"/>
        <w:jc w:val="center"/>
        <w:rPr>
          <w:b/>
          <w:bCs/>
        </w:rPr>
      </w:pPr>
      <w:r w:rsidRPr="00E96844">
        <w:rPr>
          <w:b/>
          <w:bCs/>
          <w:sz w:val="24"/>
        </w:rPr>
        <w:t>Preambule</w:t>
      </w:r>
    </w:p>
    <w:p w:rsidR="0033642F" w:rsidRDefault="00000000">
      <w:pPr>
        <w:spacing w:after="0" w:line="240" w:lineRule="auto"/>
        <w:ind w:left="0" w:right="-19" w:firstLine="0"/>
        <w:rPr>
          <w:sz w:val="24"/>
        </w:rPr>
      </w:pPr>
      <w:r>
        <w:rPr>
          <w:sz w:val="24"/>
        </w:rPr>
        <w:t xml:space="preserve">Tato smlouva o spolupráci vznikla na základě dokumentu „Pravidla pro finanční kompenzace investora vůči Městu Loučná pod Klínovcem“ projednaným Zastupitelstvem města, číslo usnesení č. </w:t>
      </w:r>
      <w:r>
        <w:rPr>
          <w:rFonts w:cs="Liberation Serif"/>
          <w:sz w:val="24"/>
        </w:rPr>
        <w:t>9. U5/9 z 5</w:t>
      </w:r>
      <w:r>
        <w:rPr>
          <w:sz w:val="24"/>
        </w:rPr>
        <w:t>. zasedání jednání ze dne 11.04. 2023, který stanovuje základní rámec spolupráce mezi městem a investorem na rozvoji města Loučná pod Klínovcem z důvodů navyšování nároků na veřejnou vybavenost a na služby vyplývajících z nárůstu hrubých podlažních ploch obytné a administrativní funkce na území města.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Pr="00E96844" w:rsidRDefault="00000000">
      <w:pPr>
        <w:spacing w:after="0" w:line="240" w:lineRule="auto"/>
        <w:ind w:left="0" w:right="-19" w:firstLine="0"/>
        <w:jc w:val="center"/>
        <w:rPr>
          <w:b/>
          <w:bCs/>
        </w:rPr>
      </w:pPr>
      <w:r w:rsidRPr="00E96844">
        <w:rPr>
          <w:b/>
          <w:bCs/>
          <w:sz w:val="24"/>
        </w:rPr>
        <w:t>Článek l.</w:t>
      </w:r>
    </w:p>
    <w:p w:rsidR="0033642F" w:rsidRPr="00E96844" w:rsidRDefault="00000000">
      <w:pPr>
        <w:spacing w:after="0" w:line="240" w:lineRule="auto"/>
        <w:ind w:left="0" w:right="-19" w:firstLine="0"/>
        <w:jc w:val="center"/>
        <w:rPr>
          <w:b/>
          <w:bCs/>
        </w:rPr>
      </w:pPr>
      <w:r w:rsidRPr="00E96844">
        <w:rPr>
          <w:b/>
          <w:bCs/>
          <w:sz w:val="24"/>
        </w:rPr>
        <w:t>Předmět Smlouvy</w:t>
      </w:r>
    </w:p>
    <w:p w:rsidR="0033642F" w:rsidRDefault="00000000">
      <w:pPr>
        <w:pStyle w:val="Odstavecseseznamem"/>
        <w:numPr>
          <w:ilvl w:val="0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Záměrem investora je realizace projektu „……………………………………………………………" (dále jen „</w:t>
      </w:r>
      <w:r>
        <w:rPr>
          <w:b/>
          <w:bCs/>
          <w:i/>
          <w:iCs/>
          <w:sz w:val="24"/>
        </w:rPr>
        <w:t>Záměr</w:t>
      </w:r>
      <w:r>
        <w:rPr>
          <w:sz w:val="24"/>
        </w:rPr>
        <w:t>"). Záměr je doložen průvodní zprávou a celkovým situačním výkresem z projektové dokumentace pro společné povolení, které jsou nedílnou součástí této Smlouvy a tvoří její přílohu č. 1.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Investor se zavazuje poskytnout příjemci za účelem rozvoje města, blíže specifikovaného v „Pravidlech pro finanční kompenzace investora vůči Městu Loučná pod Klínovcem", finanční příspěvek či jinou formu daru ve výši odpovídající násobku výměry nově zastavěných ploch záměru a částky 500,-Kč za metr čtvereční užitkové plochy.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Příjemce bere na vědomí, že realizací výstavby záměru má dle projektové dokumentace pro vydání územního rozhodnutí vzniknout celkem </w:t>
      </w:r>
      <w:r>
        <w:rPr>
          <w:sz w:val="24"/>
          <w:highlight w:val="yellow"/>
        </w:rPr>
        <w:t>…………. m</w:t>
      </w:r>
      <w:r>
        <w:rPr>
          <w:sz w:val="24"/>
          <w:highlight w:val="yellow"/>
          <w:vertAlign w:val="superscript"/>
        </w:rPr>
        <w:t>2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užitkové plochy. </w:t>
      </w:r>
    </w:p>
    <w:p w:rsidR="0033642F" w:rsidRDefault="0033642F" w:rsidP="00704309">
      <w:pPr>
        <w:spacing w:after="0" w:line="240" w:lineRule="auto"/>
        <w:ind w:left="0" w:right="-19" w:firstLine="0"/>
        <w:jc w:val="center"/>
      </w:pPr>
    </w:p>
    <w:p w:rsidR="0033642F" w:rsidRDefault="00000000">
      <w:pPr>
        <w:pStyle w:val="Odstavecseseznamem"/>
        <w:numPr>
          <w:ilvl w:val="0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lastRenderedPageBreak/>
        <w:t xml:space="preserve">V souladu s výší finančního příspěvku uvedeného v předchozím odstavci a záměrem investora činí finanční příspěvek investora celkovou výši </w:t>
      </w:r>
      <w:r>
        <w:rPr>
          <w:sz w:val="24"/>
          <w:highlight w:val="yellow"/>
        </w:rPr>
        <w:t>………………….</w:t>
      </w:r>
      <w:r>
        <w:rPr>
          <w:sz w:val="24"/>
        </w:rPr>
        <w:t xml:space="preserve"> Kč (</w:t>
      </w:r>
      <w:proofErr w:type="gramStart"/>
      <w:r>
        <w:rPr>
          <w:sz w:val="24"/>
        </w:rPr>
        <w:t>slovy:  )</w:t>
      </w:r>
      <w:proofErr w:type="gramEnd"/>
      <w:r>
        <w:rPr>
          <w:sz w:val="24"/>
        </w:rPr>
        <w:t>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Výše finančního příspěvku dle odstavců 3 a 4 tohoto článku je stanovena na základě předběžného odhadu užitkové plochy dle záměru. Konečná výše příspěvku bude vypočtena dle výměry nově zastavěných užitkových ploch uvedených v pravomocném společném povolení.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1"/>
        </w:numPr>
        <w:spacing w:after="0" w:line="240" w:lineRule="auto"/>
        <w:ind w:right="-19"/>
      </w:pPr>
      <w:r>
        <w:rPr>
          <w:sz w:val="24"/>
        </w:rPr>
        <w:t>Příjemce se zavazuje předmětné plnění použít ve smyslu ustanovení § 20 odst. 8 zákona č. 586/1992 Sb., o daních z příjmů, pouze k účelu specifikovanému v čl. l. odst. 2.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Příjemce bere na vědomí následující informace od Investora, týkající se výše uvedeného záměru:</w:t>
      </w:r>
    </w:p>
    <w:p w:rsidR="0033642F" w:rsidRDefault="00000000">
      <w:pPr>
        <w:pStyle w:val="Odstavecseseznamem"/>
        <w:numPr>
          <w:ilvl w:val="1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Název stavby:</w:t>
      </w:r>
    </w:p>
    <w:p w:rsidR="0033642F" w:rsidRDefault="00000000">
      <w:pPr>
        <w:pStyle w:val="Odstavecseseznamem"/>
        <w:numPr>
          <w:ilvl w:val="1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Předpokládané termíny:</w:t>
      </w:r>
    </w:p>
    <w:p w:rsidR="0033642F" w:rsidRDefault="00000000">
      <w:pPr>
        <w:pStyle w:val="Odstavecseseznamem"/>
        <w:numPr>
          <w:ilvl w:val="1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Zahájení výstavby (demolice stávajících objektů):</w:t>
      </w:r>
    </w:p>
    <w:p w:rsidR="0033642F" w:rsidRDefault="00000000">
      <w:pPr>
        <w:pStyle w:val="Odstavecseseznamem"/>
        <w:numPr>
          <w:ilvl w:val="1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Dokončení výstavby (kolaudace)</w:t>
      </w:r>
    </w:p>
    <w:p w:rsidR="0033642F" w:rsidRDefault="00000000">
      <w:pPr>
        <w:pStyle w:val="Odstavecseseznamem"/>
        <w:numPr>
          <w:ilvl w:val="1"/>
          <w:numId w:val="1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Pozemky dotčené Záměrem:</w:t>
      </w:r>
    </w:p>
    <w:p w:rsidR="0033642F" w:rsidRPr="00E96844" w:rsidRDefault="0033642F">
      <w:pPr>
        <w:spacing w:after="0" w:line="240" w:lineRule="auto"/>
        <w:ind w:left="0" w:right="-19" w:firstLine="0"/>
        <w:rPr>
          <w:b/>
          <w:bCs/>
        </w:rPr>
      </w:pPr>
    </w:p>
    <w:p w:rsidR="0033642F" w:rsidRPr="00E96844" w:rsidRDefault="00000000">
      <w:pPr>
        <w:spacing w:after="0" w:line="240" w:lineRule="auto"/>
        <w:ind w:left="0" w:right="-19" w:firstLine="0"/>
        <w:jc w:val="center"/>
        <w:rPr>
          <w:b/>
          <w:bCs/>
        </w:rPr>
      </w:pPr>
      <w:r w:rsidRPr="00E96844">
        <w:rPr>
          <w:b/>
          <w:bCs/>
          <w:sz w:val="24"/>
        </w:rPr>
        <w:t>Článek II.</w:t>
      </w:r>
    </w:p>
    <w:p w:rsidR="0033642F" w:rsidRPr="00E96844" w:rsidRDefault="00000000">
      <w:pPr>
        <w:spacing w:after="0" w:line="240" w:lineRule="auto"/>
        <w:ind w:left="0" w:right="-19" w:firstLine="0"/>
        <w:jc w:val="center"/>
        <w:rPr>
          <w:b/>
          <w:bCs/>
          <w:sz w:val="24"/>
        </w:rPr>
      </w:pPr>
      <w:r w:rsidRPr="00E96844">
        <w:rPr>
          <w:b/>
          <w:bCs/>
          <w:sz w:val="24"/>
        </w:rPr>
        <w:t>Závazky investora</w:t>
      </w:r>
    </w:p>
    <w:p w:rsidR="0033642F" w:rsidRDefault="0033642F">
      <w:pPr>
        <w:spacing w:after="0" w:line="240" w:lineRule="auto"/>
        <w:ind w:left="0" w:right="-19" w:firstLine="0"/>
        <w:jc w:val="center"/>
      </w:pPr>
    </w:p>
    <w:p w:rsidR="0033642F" w:rsidRDefault="00000000">
      <w:pPr>
        <w:pStyle w:val="Odstavecseseznamem"/>
        <w:numPr>
          <w:ilvl w:val="0"/>
          <w:numId w:val="2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 xml:space="preserve">V případě finančního daru se investor zavazuje předmětný příspěvek stanovený dle čl. l. odst. 3 a 4 poskytnout příjemci jednorázově, a to do konce třetího měsíce následujícího po kalendářním měsíci, v němž bude vydáno pravomocné společné povolení o umístění a povolení celé nebo části stavby záměru. Finanční příspěvek bude uhrazen bezhotovostním převodem na účet příjemce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>: 940006349/0800, variabilní symbol: číslo smlouvy.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2"/>
        </w:numPr>
        <w:spacing w:after="0" w:line="240" w:lineRule="auto"/>
        <w:ind w:right="-19"/>
      </w:pPr>
      <w:r>
        <w:rPr>
          <w:sz w:val="24"/>
        </w:rPr>
        <w:t>V případě úmyslu investora převést svá práva a povinnosti k záměru na jiný subjekt, je Investor povinen Příjemce o tomto svém úmyslu bez zbytečného odkladu písemnou formou vyrozumět. V případě, že se Investor rozhodne záměr nerealizovat a převede záměr jako celek ve stejné podobě na třetí osobu, zavazuje se zajistit postoupení všech práv a povinností vyplývajících z této smlouvy na nového investora (nového majitele pozemků případně majitele záměru), Příjemce k tomu poskytne nezbytnou součinnost.</w:t>
      </w:r>
    </w:p>
    <w:p w:rsidR="0033642F" w:rsidRDefault="0033642F">
      <w:pPr>
        <w:spacing w:after="0" w:line="240" w:lineRule="auto"/>
        <w:ind w:left="0" w:right="-19" w:firstLine="0"/>
        <w:jc w:val="center"/>
      </w:pPr>
    </w:p>
    <w:p w:rsidR="0033642F" w:rsidRDefault="00000000">
      <w:pPr>
        <w:pStyle w:val="Odstavecseseznamem"/>
        <w:numPr>
          <w:ilvl w:val="0"/>
          <w:numId w:val="2"/>
        </w:numPr>
        <w:spacing w:after="0" w:line="240" w:lineRule="auto"/>
        <w:ind w:right="-19"/>
      </w:pPr>
      <w:r>
        <w:rPr>
          <w:sz w:val="24"/>
        </w:rPr>
        <w:t>V případě nesplnění povinností dle čl. II. je Investor povinen zaplatit příjemci na účet Příjemce smluvní pokutu odpovídající výši plnění dle čl. l. odst. 4 a to do třiceti dnů od obdržení písemné výzvy k uhrazení smluvní pokuty od příjemce.</w:t>
      </w:r>
    </w:p>
    <w:p w:rsidR="0033642F" w:rsidRDefault="0033642F">
      <w:pPr>
        <w:pStyle w:val="Odstavecseseznamem"/>
      </w:pPr>
    </w:p>
    <w:p w:rsidR="0033642F" w:rsidRDefault="0033642F">
      <w:pPr>
        <w:pStyle w:val="Odstavecseseznamem"/>
      </w:pPr>
    </w:p>
    <w:p w:rsidR="0033642F" w:rsidRDefault="0033642F">
      <w:pPr>
        <w:pStyle w:val="Odstavecseseznamem"/>
      </w:pPr>
    </w:p>
    <w:p w:rsidR="0033642F" w:rsidRDefault="0033642F">
      <w:pPr>
        <w:pStyle w:val="Odstavecseseznamem"/>
      </w:pPr>
    </w:p>
    <w:p w:rsidR="0033642F" w:rsidRDefault="0033642F">
      <w:pPr>
        <w:pStyle w:val="Odstavecseseznamem"/>
      </w:pPr>
    </w:p>
    <w:p w:rsidR="0033642F" w:rsidRDefault="0033642F">
      <w:pPr>
        <w:pStyle w:val="Odstavecseseznamem"/>
        <w:spacing w:after="0" w:line="240" w:lineRule="auto"/>
        <w:ind w:right="-19" w:firstLine="0"/>
      </w:pPr>
    </w:p>
    <w:p w:rsidR="0033642F" w:rsidRPr="00E96844" w:rsidRDefault="00000000">
      <w:pPr>
        <w:spacing w:after="0" w:line="240" w:lineRule="auto"/>
        <w:ind w:left="0" w:right="-19" w:firstLine="0"/>
        <w:jc w:val="center"/>
        <w:rPr>
          <w:b/>
          <w:bCs/>
        </w:rPr>
      </w:pPr>
      <w:r w:rsidRPr="00E96844">
        <w:rPr>
          <w:b/>
          <w:bCs/>
          <w:sz w:val="24"/>
        </w:rPr>
        <w:lastRenderedPageBreak/>
        <w:t>Článek III.</w:t>
      </w:r>
    </w:p>
    <w:p w:rsidR="0033642F" w:rsidRPr="00E96844" w:rsidRDefault="00000000">
      <w:pPr>
        <w:spacing w:after="0" w:line="240" w:lineRule="auto"/>
        <w:ind w:left="0" w:right="-19" w:firstLine="0"/>
        <w:jc w:val="center"/>
        <w:rPr>
          <w:b/>
          <w:bCs/>
          <w:sz w:val="24"/>
        </w:rPr>
      </w:pPr>
      <w:r w:rsidRPr="00E96844">
        <w:rPr>
          <w:b/>
          <w:bCs/>
          <w:sz w:val="24"/>
        </w:rPr>
        <w:t>Závěrečná ustanovení</w:t>
      </w:r>
    </w:p>
    <w:p w:rsidR="0033642F" w:rsidRDefault="0033642F">
      <w:pPr>
        <w:spacing w:after="0" w:line="240" w:lineRule="auto"/>
        <w:ind w:left="0" w:right="-19" w:firstLine="0"/>
        <w:jc w:val="center"/>
      </w:pPr>
    </w:p>
    <w:p w:rsidR="0033642F" w:rsidRDefault="00000000">
      <w:pPr>
        <w:pStyle w:val="Odstavecseseznamem"/>
        <w:numPr>
          <w:ilvl w:val="0"/>
          <w:numId w:val="3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Tato smlouva o spolupráci je uzavřená na základě rozhodnutí zastupitelstva Města Loučná pod Klínovcem</w:t>
      </w:r>
      <w:r>
        <w:t xml:space="preserve"> </w:t>
      </w:r>
      <w:r>
        <w:rPr>
          <w:sz w:val="24"/>
        </w:rPr>
        <w:t xml:space="preserve">č. usnesení </w:t>
      </w:r>
      <w:r>
        <w:rPr>
          <w:rFonts w:cs="Liberation Serif"/>
          <w:sz w:val="24"/>
        </w:rPr>
        <w:t>9. U5/9 z 5</w:t>
      </w:r>
      <w:r>
        <w:rPr>
          <w:sz w:val="24"/>
        </w:rPr>
        <w:t>. zasedání Zastupitelstva města, ze dne 11.04. 2023.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3"/>
        </w:numPr>
        <w:spacing w:after="0" w:line="240" w:lineRule="auto"/>
        <w:ind w:right="-19"/>
      </w:pPr>
      <w:r>
        <w:rPr>
          <w:sz w:val="24"/>
        </w:rPr>
        <w:t xml:space="preserve">Obě smluvní strany prohlašují, že si tuto Smlouvu před jejím podpisem přečetly, že byla uzavřena po vzájemném projednání dle jejich pravé a svobodné vůle a na důkaz toho </w:t>
      </w:r>
      <w:r>
        <w:rPr>
          <w:noProof/>
        </w:rPr>
        <w:drawing>
          <wp:inline distT="0" distB="0" distL="0" distR="0">
            <wp:extent cx="4445" cy="8890"/>
            <wp:effectExtent l="0" t="0" r="0" b="0"/>
            <wp:docPr id="1" name="Picture 6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2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připojují své podpisy, Práva a povinnosti z této smlouvy plynoucí přecházejí na případné právní nástupce obou smluvních stran.</w:t>
      </w:r>
    </w:p>
    <w:p w:rsidR="0033642F" w:rsidRDefault="0033642F">
      <w:pPr>
        <w:pStyle w:val="Odstavecseseznamem"/>
      </w:pPr>
    </w:p>
    <w:p w:rsidR="0033642F" w:rsidRDefault="00000000">
      <w:pPr>
        <w:pStyle w:val="Odstavecseseznamem"/>
        <w:numPr>
          <w:ilvl w:val="0"/>
          <w:numId w:val="3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Tato smlouva nabývá platnosti dnem jejího podpisu oběma smluvními stranami a účinnosti dnem její registrace v registru smluv dle zákona č. 340/2015 Sb., o zvláštních podmínkách účinnosti některých smluv, uveřejňování těchto smluv a registru smluv.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3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 xml:space="preserve">Smluvní strany výslovně sjednávají, že uveřejnění této smlouvy v registru smluv dle zákona č. 340/2015 Sb., o zvláštních podmínkách účinnosti některých smluv, uveřejňování těchto smluv v registru smluv zajistí město Loučná pod Klínovcem do </w:t>
      </w:r>
      <w:proofErr w:type="gramStart"/>
      <w:r>
        <w:rPr>
          <w:sz w:val="24"/>
        </w:rPr>
        <w:t>30-ti</w:t>
      </w:r>
      <w:proofErr w:type="gramEnd"/>
      <w:r>
        <w:rPr>
          <w:sz w:val="24"/>
        </w:rPr>
        <w:t xml:space="preserve"> dnů od podpisu smlouvy.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3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>Smluvní strany souhlasí s uveřejněním této smlouvy a konstatují, že ve smlouvě nejsou informace, které nemohou být poskytnuty podle zákona č. 340/2015 Sb.,         o zvláštních podmínkách účinnosti některých smluv, uveřejňování těchto smluv            a registru smluv a zákona č. 106/1999 Sb., o svobodném přístupu k informacím.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000000">
      <w:pPr>
        <w:pStyle w:val="Odstavecseseznamem"/>
        <w:numPr>
          <w:ilvl w:val="0"/>
          <w:numId w:val="3"/>
        </w:numPr>
        <w:spacing w:after="0" w:line="240" w:lineRule="auto"/>
        <w:ind w:right="-19"/>
        <w:rPr>
          <w:sz w:val="24"/>
        </w:rPr>
      </w:pPr>
      <w:r>
        <w:rPr>
          <w:sz w:val="24"/>
        </w:rPr>
        <w:t xml:space="preserve">Tato smlouva je vyhotovena ve dvou stejnopisech, z nichž po jednom vyhotovení obdrží příjemce a investor. </w:t>
      </w:r>
    </w:p>
    <w:p w:rsidR="0033642F" w:rsidRDefault="0033642F">
      <w:pPr>
        <w:spacing w:after="0" w:line="240" w:lineRule="auto"/>
        <w:ind w:left="0" w:right="-19" w:firstLine="0"/>
        <w:rPr>
          <w:sz w:val="24"/>
        </w:rPr>
      </w:pPr>
    </w:p>
    <w:p w:rsidR="0033642F" w:rsidRDefault="00000000">
      <w:pPr>
        <w:pStyle w:val="Odstavecseseznamem"/>
        <w:numPr>
          <w:ilvl w:val="0"/>
          <w:numId w:val="3"/>
        </w:numPr>
        <w:spacing w:after="0" w:line="240" w:lineRule="auto"/>
        <w:ind w:right="-19"/>
      </w:pPr>
      <w:r>
        <w:rPr>
          <w:sz w:val="24"/>
        </w:rPr>
        <w:t>Tato smlouva může být měněna pouze vzestupně číslovanými písemnými dodatky, podepsanými oběma Smluvními stranami.</w:t>
      </w:r>
    </w:p>
    <w:p w:rsidR="0033642F" w:rsidRDefault="0033642F">
      <w:pPr>
        <w:spacing w:after="0" w:line="240" w:lineRule="auto"/>
        <w:ind w:left="0" w:right="-19" w:firstLine="0"/>
      </w:pPr>
    </w:p>
    <w:p w:rsidR="0033642F" w:rsidRDefault="0033642F">
      <w:pPr>
        <w:spacing w:after="0" w:line="240" w:lineRule="auto"/>
        <w:ind w:left="0" w:right="-19" w:firstLine="0"/>
        <w:jc w:val="left"/>
        <w:rPr>
          <w:sz w:val="24"/>
        </w:rPr>
      </w:pPr>
    </w:p>
    <w:p w:rsidR="0033642F" w:rsidRDefault="00000000">
      <w:pPr>
        <w:spacing w:after="0" w:line="240" w:lineRule="auto"/>
        <w:ind w:left="0" w:right="-19" w:firstLine="0"/>
        <w:jc w:val="left"/>
        <w:rPr>
          <w:sz w:val="24"/>
        </w:rPr>
      </w:pPr>
      <w:r>
        <w:rPr>
          <w:sz w:val="24"/>
        </w:rPr>
        <w:t>Investor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Příjemce</w:t>
      </w:r>
    </w:p>
    <w:p w:rsidR="0033642F" w:rsidRDefault="0033642F">
      <w:pPr>
        <w:spacing w:after="0" w:line="240" w:lineRule="auto"/>
        <w:ind w:left="0" w:right="-19" w:firstLine="0"/>
        <w:jc w:val="left"/>
        <w:rPr>
          <w:sz w:val="24"/>
        </w:rPr>
      </w:pPr>
    </w:p>
    <w:p w:rsidR="0033642F" w:rsidRDefault="0033642F">
      <w:pPr>
        <w:spacing w:after="0" w:line="240" w:lineRule="auto"/>
        <w:ind w:left="0" w:right="-19" w:firstLine="0"/>
        <w:jc w:val="left"/>
        <w:rPr>
          <w:sz w:val="24"/>
        </w:rPr>
      </w:pPr>
    </w:p>
    <w:p w:rsidR="0033642F" w:rsidRDefault="0033642F">
      <w:pPr>
        <w:spacing w:after="0" w:line="240" w:lineRule="auto"/>
        <w:ind w:left="0" w:right="-19" w:firstLine="0"/>
        <w:jc w:val="left"/>
        <w:rPr>
          <w:sz w:val="24"/>
        </w:rPr>
      </w:pPr>
    </w:p>
    <w:p w:rsidR="0033642F" w:rsidRDefault="00000000">
      <w:pPr>
        <w:spacing w:after="0" w:line="240" w:lineRule="auto"/>
        <w:ind w:left="0" w:right="-19" w:firstLine="0"/>
        <w:jc w:val="left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</w:t>
      </w:r>
    </w:p>
    <w:p w:rsidR="0033642F" w:rsidRDefault="00000000">
      <w:pPr>
        <w:spacing w:after="0" w:line="240" w:lineRule="auto"/>
        <w:ind w:left="0" w:right="-19" w:firstLine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Mgr. Jana </w:t>
      </w:r>
      <w:proofErr w:type="spellStart"/>
      <w:r>
        <w:rPr>
          <w:sz w:val="24"/>
        </w:rPr>
        <w:t>Nýdrová</w:t>
      </w:r>
      <w:proofErr w:type="spellEnd"/>
    </w:p>
    <w:p w:rsidR="0033642F" w:rsidRDefault="00000000">
      <w:pPr>
        <w:spacing w:after="0" w:line="240" w:lineRule="auto"/>
        <w:ind w:left="0" w:right="-19" w:firstLine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starostka města</w:t>
      </w:r>
    </w:p>
    <w:p w:rsidR="0033642F" w:rsidRDefault="0033642F">
      <w:pPr>
        <w:spacing w:after="0" w:line="240" w:lineRule="auto"/>
        <w:ind w:left="0" w:right="-19" w:firstLine="0"/>
        <w:jc w:val="left"/>
        <w:rPr>
          <w:sz w:val="24"/>
          <w:u w:val="single" w:color="000000"/>
        </w:rPr>
      </w:pPr>
    </w:p>
    <w:p w:rsidR="0033642F" w:rsidRDefault="00000000">
      <w:pPr>
        <w:spacing w:after="0" w:line="240" w:lineRule="auto"/>
        <w:ind w:left="0" w:right="-19" w:firstLine="0"/>
        <w:jc w:val="left"/>
      </w:pPr>
      <w:r>
        <w:rPr>
          <w:sz w:val="24"/>
          <w:u w:val="single" w:color="000000"/>
        </w:rPr>
        <w:t>Přílohy:</w:t>
      </w:r>
    </w:p>
    <w:p w:rsidR="0033642F" w:rsidRDefault="00000000">
      <w:pPr>
        <w:spacing w:after="0" w:line="240" w:lineRule="auto"/>
        <w:ind w:left="0" w:right="-19" w:firstLine="0"/>
      </w:pPr>
      <w:r>
        <w:rPr>
          <w:sz w:val="24"/>
        </w:rPr>
        <w:t>1. Pravidla pro finanční kompenzace investora vůči městu Loučná pod Klínovcem</w:t>
      </w:r>
    </w:p>
    <w:p w:rsidR="0033642F" w:rsidRDefault="00000000">
      <w:pPr>
        <w:spacing w:after="0" w:line="240" w:lineRule="auto"/>
        <w:ind w:left="0" w:right="-19" w:firstLine="0"/>
      </w:pPr>
      <w:r>
        <w:rPr>
          <w:sz w:val="24"/>
        </w:rPr>
        <w:t>2. Situační výkres záměru</w:t>
      </w:r>
    </w:p>
    <w:p w:rsidR="0033642F" w:rsidRDefault="0033642F">
      <w:pPr>
        <w:spacing w:after="0" w:line="240" w:lineRule="auto"/>
        <w:ind w:left="0" w:right="-19" w:firstLine="0"/>
      </w:pPr>
    </w:p>
    <w:sectPr w:rsidR="0033642F" w:rsidSect="00704309">
      <w:footerReference w:type="even" r:id="rId9"/>
      <w:footerReference w:type="default" r:id="rId10"/>
      <w:footerReference w:type="first" r:id="rId11"/>
      <w:pgSz w:w="11906" w:h="16838"/>
      <w:pgMar w:top="1417" w:right="1417" w:bottom="1742" w:left="1417" w:header="0" w:footer="1685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62A4" w:rsidRDefault="003C62A4">
      <w:pPr>
        <w:spacing w:after="0" w:line="240" w:lineRule="auto"/>
      </w:pPr>
      <w:r>
        <w:separator/>
      </w:r>
    </w:p>
  </w:endnote>
  <w:endnote w:type="continuationSeparator" w:id="0">
    <w:p w:rsidR="003C62A4" w:rsidRDefault="003C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42F" w:rsidRDefault="00000000">
    <w:pPr>
      <w:spacing w:after="0" w:line="259" w:lineRule="auto"/>
      <w:ind w:left="0" w:right="101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0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42F" w:rsidRDefault="00000000">
    <w:pPr>
      <w:spacing w:after="0" w:line="259" w:lineRule="auto"/>
      <w:ind w:left="0" w:right="101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42F" w:rsidRDefault="00000000">
    <w:pPr>
      <w:spacing w:after="0" w:line="259" w:lineRule="auto"/>
      <w:ind w:left="0" w:right="101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62A4" w:rsidRDefault="003C62A4">
      <w:pPr>
        <w:spacing w:after="0" w:line="240" w:lineRule="auto"/>
      </w:pPr>
      <w:r>
        <w:separator/>
      </w:r>
    </w:p>
  </w:footnote>
  <w:footnote w:type="continuationSeparator" w:id="0">
    <w:p w:rsidR="003C62A4" w:rsidRDefault="003C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52AC"/>
    <w:multiLevelType w:val="multilevel"/>
    <w:tmpl w:val="BACEE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C85E6B"/>
    <w:multiLevelType w:val="multilevel"/>
    <w:tmpl w:val="F9D03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251489"/>
    <w:multiLevelType w:val="multilevel"/>
    <w:tmpl w:val="02B666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C4348D0"/>
    <w:multiLevelType w:val="multilevel"/>
    <w:tmpl w:val="518865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74472105">
    <w:abstractNumId w:val="2"/>
  </w:num>
  <w:num w:numId="2" w16cid:durableId="100885085">
    <w:abstractNumId w:val="3"/>
  </w:num>
  <w:num w:numId="3" w16cid:durableId="591932387">
    <w:abstractNumId w:val="0"/>
  </w:num>
  <w:num w:numId="4" w16cid:durableId="66617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42F"/>
    <w:rsid w:val="0033642F"/>
    <w:rsid w:val="003C62A4"/>
    <w:rsid w:val="00704309"/>
    <w:rsid w:val="00E96844"/>
    <w:rsid w:val="00F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330D7-0DF7-4D1D-80FA-2F772D5E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9" w:line="228" w:lineRule="auto"/>
      <w:ind w:left="427" w:hanging="341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pBdr>
        <w:top w:val="single" w:sz="16" w:space="0" w:color="000000"/>
        <w:left w:val="single" w:sz="12" w:space="0" w:color="000000"/>
        <w:bottom w:val="single" w:sz="16" w:space="0" w:color="000000"/>
        <w:right w:val="single" w:sz="6" w:space="0" w:color="000000"/>
      </w:pBdr>
      <w:spacing w:after="367" w:line="237" w:lineRule="auto"/>
      <w:ind w:left="378" w:right="292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1072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1072A"/>
    <w:rPr>
      <w:rFonts w:ascii="Calibri" w:eastAsia="Calibri" w:hAnsi="Calibri" w:cs="Calibri"/>
      <w:color w:val="00000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1072A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619F5"/>
    <w:rPr>
      <w:rFonts w:ascii="Calibri" w:eastAsia="Calibri" w:hAnsi="Calibri" w:cs="Calibri"/>
      <w:color w:val="000000"/>
      <w:sz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Revize">
    <w:name w:val="Revision"/>
    <w:uiPriority w:val="99"/>
    <w:semiHidden/>
    <w:qFormat/>
    <w:rsid w:val="00B1072A"/>
    <w:rPr>
      <w:rFonts w:ascii="Calibri" w:eastAsia="Calibri" w:hAnsi="Calibri" w:cs="Calibri"/>
      <w:color w:val="000000"/>
      <w:sz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1072A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1072A"/>
    <w:rPr>
      <w:b/>
      <w:bCs/>
    </w:rPr>
  </w:style>
  <w:style w:type="paragraph" w:styleId="Odstavecseseznamem">
    <w:name w:val="List Paragraph"/>
    <w:basedOn w:val="Normln"/>
    <w:uiPriority w:val="34"/>
    <w:qFormat/>
    <w:rsid w:val="00A71150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619F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Zhlavazpat"/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 w:val="20"/>
      <w:szCs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492DC7-16B3-1241-81B9-4EE8B592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819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SKM_C250i22062212120</dc:title>
  <dc:subject/>
  <dc:creator>Office | Řezníček &amp; Co.</dc:creator>
  <dc:description/>
  <cp:lastModifiedBy>Klara Durecova</cp:lastModifiedBy>
  <cp:revision>14</cp:revision>
  <cp:lastPrinted>2023-04-27T09:43:00Z</cp:lastPrinted>
  <dcterms:created xsi:type="dcterms:W3CDTF">2023-04-26T14:05:00Z</dcterms:created>
  <dcterms:modified xsi:type="dcterms:W3CDTF">2023-04-27T09:43:00Z</dcterms:modified>
  <dc:language>cs-CZ</dc:language>
</cp:coreProperties>
</file>